
<file path=[Content_Types].xml><?xml version="1.0" encoding="utf-8"?>
<Types xmlns="http://schemas.openxmlformats.org/package/2006/content-types">
  <Default Extension="xml" ContentType="application/vnd.openxmlformats-officedocument.wordprocessingml.styles+xml"/>
  <Default Extension="png" ContentType="image/png"/>
  <Default Extension="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header1.xml" ContentType="application/vnd.openxmlformats-officedocument.wordprocessingml.header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Id1" /></Relationships>
</file>

<file path=word/document.xml><?xml version="1.0" encoding="utf-8"?>
<w:document xmlns:r="http://schemas.openxmlformats.org/officeDocument/2006/relationships" xmlns:m="http://schemas.openxmlformats.org/officeDocument/2006/math" xmlns:w="http://schemas.openxmlformats.org/wordprocessingml/2006/main">
  <w:body>
    <w:p>
      <w:pPr>
        <w:jc w:val="center"/>
      </w:pPr>
      <w:r>
        <w:t>Министерство науки и высшего образования Республики Казахстан</w:t>
      </w:r>
    </w:p>
    <w:p/>
    <w:p>
      <w:pPr>
        <w:jc w:val="center"/>
      </w:pPr>
      <w:r>
        <w:t>ВКТУ им.Д.Серикбаева</w:t>
      </w:r>
    </w:p>
    <w:p/>
    <w:p/>
    <w:p>
      <w:pPr>
        <w:ind w:left="6100"/>
      </w:pPr>
      <w:r>
        <w:t>УТВЕРЖДАЮ:</w:t>
      </w:r>
    </w:p>
    <w:p>
      <w:pPr>
        <w:ind w:left="6100"/>
      </w:pPr>
      <w:r>
        <w:t>Декан ШБиП:</w:t>
      </w:r>
    </w:p>
    <w:p>
      <w:pPr>
        <w:ind w:left="6100"/>
      </w:pPr>
      <w:r>
        <w:t>Закимова А.М.</w:t>
      </w:r>
    </w:p>
    <w:p>
      <w:pPr>
        <w:ind w:left="6100"/>
      </w:pPr>
      <w:r>
        <w:t>_____________ </w:t>
      </w:r>
      <w:r>
        <w:t>2022</w:t>
      </w:r>
      <w:r>
        <w:t xml:space="preserve"> г.</w:t>
      </w:r>
    </w:p>
    <w:p/>
    <w:p/>
    <w:p/>
    <w:p/>
    <w:p/>
    <w:p/>
    <w:p/>
    <w:p/>
    <w:p/>
    <w:p>
      <w:pPr>
        <w:jc w:val="center"/>
      </w:pPr>
      <w:r>
        <w:rPr>
          <w:b w:val="1"/>
        </w:rPr>
        <w:t>ИННОВАЦИОННЫЙ МЕНЕДЖМЕНТ</w:t>
      </w:r>
    </w:p>
    <w:p>
      <w:pPr>
        <w:jc w:val="center"/>
      </w:pPr>
      <w:r>
        <w:t>Рабочая учебная программа (силлабус)</w:t>
      </w:r>
    </w:p>
    <w:p/>
    <w:p/>
    <w:p/>
    <w:p/>
    <w:p>
      <w:r>
        <w:t>Образовательная программа: 6B04103 Бизнес-управление производственными системами</w:t>
      </w:r>
    </w:p>
    <w:p>
      <w:r>
        <w:t>Код дисциплины: IM2302</w:t>
      </w:r>
    </w:p>
    <w:p>
      <w:r>
        <w:t>Количество кредитов: 4</w:t>
      </w:r>
    </w:p>
    <w:p>
      <w:r>
        <w:t>Цикл: ПД</w:t>
      </w:r>
    </w:p>
    <w:p>
      <w:r>
        <w:t>Компонент: ВК</w:t>
      </w:r>
    </w:p>
    <w:p/>
    <w:p/>
    <w:p/>
    <w:p/>
    <w:p/>
    <w:p/>
    <w:p/>
    <w:p/>
    <w:p/>
    <w:p/>
    <w:p/>
    <w:p/>
    <w:p/>
    <w:p>
      <w:pPr>
        <w:jc w:val="center"/>
      </w:pPr>
      <w:r>
        <w:t>Усть-Каменогорск,</w:t>
      </w:r>
      <w:r>
        <w:t xml:space="preserve"> 2022</w:t>
      </w:r>
      <w:r>
        <w:br w:type="page"/>
      </w:r>
    </w:p>
    <w:p>
      <w:pPr>
        <w:ind w:firstLine="567"/>
      </w:pPr>
      <w:r>
        <w:t>Рабочая учебная программа (силлабус) разработана в школе «ШБиП» на основании Государственного общеобразовательного стандарта 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Образовательной программы, Рабочего учебного плана, Каталога элективных дисциплин.</w:t>
      </w:r>
    </w:p>
    <w:p/>
    <w:p>
      <w:r>
        <w:t>Одобрено Комиссией по обеспечению качества</w:t>
      </w:r>
    </w:p>
    <w:p/>
    <w:p>
      <w:pPr>
        <w:tabs>
          <w:tab w:val="left" w:pos="6500"/>
        </w:tabs>
      </w:pPr>
      <w:r>
        <w:t>Председатель</w:t>
        <w:tab/>
        <w:r>
          <w:t>Жанабаева А.С.</w:t>
        </w:r>
      </w:r>
    </w:p>
    <w:p>
      <w:r>
        <w:t xml:space="preserve">Дата    </w:t>
      </w:r>
      <w:r>
        <w:t>29.08.2022</w:t>
      </w:r>
      <w:r>
        <w:t xml:space="preserve"> г.   протокол </w:t>
      </w:r>
      <w:r>
        <w:t>№1</w:t>
      </w:r>
    </w:p>
    <w:p/>
    <w:p>
      <w:pPr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  <w:tab/>
      </w:r>
      <w:r>
        <w:t>Варавин Е.В.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6B04103</w:t>
      </w:r>
    </w:p>
    <w:p/>
    <w:p>
      <w:pPr>
        <w:tabs>
          <w:tab w:val="left" w:pos="6500"/>
        </w:tabs>
        <w:ind w:left="6500" w:hanging="6500"/>
        <w:jc w:val="left"/>
      </w:pPr>
      <w:r>
        <w:t>Разработал</w:t>
        <w:tab/>
      </w:r>
      <w:r>
        <w:t>Варавин Е.В.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Профессор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Гранецкий В.Н.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Ассоциированный профессор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Рахимбердинова М.У.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Ассоциированный профессор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Сизов М.В.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Старший преподаватель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Казыкенов А.Ж.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Преподаватель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Казыкешова А.Т.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нет</w:t>
      </w:r>
    </w:p>
    <w:p/>
    <w:p/>
    <w:p>
      <w:r>
        <w:br w:type="page"/>
      </w:r>
    </w:p>
    <w:p>
      <w:pPr>
        <w:jc w:val="center"/>
      </w:pPr>
      <w:r>
        <w:rPr>
          <w:b w:val="1"/>
        </w:rPr>
        <w:t>1 ХАРАКТЕРИСТИКА ДИСЦИПЛИНЫ, ЕЕ МЕСТО В УЧЕБНОМ ПРОЦЕССЕ</w:t>
      </w:r>
    </w:p>
    <w:p/>
    <w:p>
      <w:pPr>
        <w:jc w:val="center"/>
      </w:pPr>
      <w:r>
        <w:rPr>
          <w:b w:val="1"/>
        </w:rPr>
        <w:t>1.1 Краткое описание дисциплины</w:t>
      </w:r>
    </w:p>
    <w:p/>
    <w:p>
      <w:pPr>
        <w:ind w:firstLine="567"/>
      </w:pPr>
      <w:r>
        <w:t>При изучении данной дисциплины рассматриваются понятие, сущность, признаки и классификация инноваций; сущность, функции и основные характеристики рынка инноваций; основные операции рынка интеллектуальной собственности и его законодательное регулирование; методы оценки различных инноваций.Технологические уклады и развитие инноваций на их основе.</w:t>
      </w:r>
    </w:p>
    <w:p/>
    <w:p>
      <w:pPr>
        <w:jc w:val="center"/>
      </w:pPr>
      <w:r>
        <w:rPr>
          <w:b w:val="1"/>
        </w:rPr>
        <w:t>1.2 Цель и задачи изучения дисциплины</w:t>
      </w:r>
    </w:p>
    <w:p/>
    <w:p>
      <w:pPr>
        <w:ind w:firstLine="567"/>
      </w:pPr>
      <w:r>
        <w:t>Цель изучения дисциплины:</w:t>
      </w:r>
    </w:p>
    <w:p>
      <w:pPr>
        <w:ind w:firstLine="567"/>
      </w:pPr>
      <w:r>
        <w:t>системное представление основных разделов инновационного менеджмента на уровне предприятия, а также приобретение студентами всего массива знаний и навыков в инновационной рыночной деятельности.</w:t>
      </w:r>
    </w:p>
    <w:p/>
    <w:p>
      <w:pPr>
        <w:ind w:firstLine="567"/>
      </w:pPr>
      <w:r>
        <w:t>Задачи изучения дисциплины:</w:t>
      </w:r>
    </w:p>
    <w:p>
      <w:pPr>
        <w:ind w:firstLine="567"/>
      </w:pPr>
      <w:r>
        <w:t>- изучение современных научных концепций управления инновациями</w:t>
      </w:r>
    </w:p>
    <w:p>
      <w:pPr>
        <w:ind w:firstLine="567"/>
      </w:pPr>
      <w:r>
        <w:t>- понимание закономерностей инновационного процесса и необходимого информационного базиса относительно построения инновационного стратегии организации</w:t>
      </w:r>
    </w:p>
    <w:p>
      <w:pPr>
        <w:ind w:firstLine="567"/>
      </w:pPr>
      <w:r>
        <w:t>- теоретическое изучение и демонстрация студентом на практике особенностей принятия управленческих решений в условиях неопределенности и риска инновационного проекта</w:t>
      </w:r>
    </w:p>
    <w:p/>
    <w:p>
      <w:pPr>
        <w:jc w:val="center"/>
      </w:pPr>
      <w:r>
        <w:rPr>
          <w:b w:val="1"/>
        </w:rPr>
        <w:t>1.3 Результаты обучения</w:t>
      </w:r>
    </w:p>
    <w:p/>
    <w:p>
      <w:pPr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vMerge w:val="restart"/>
            <w:tcW w:w="1119" w:type="pct"/>
          </w:tcPr>
          <w:p>
            <w:pPr>
              <w:jc w:val="center"/>
            </w:pPr>
            <w:r>
              <w:t>Формируемые ключевые компетенции</w:t>
            </w:r>
          </w:p>
        </w:tc>
        <w:tc>
          <w:tcPr>
            <w:gridSpan w:val="2"/>
          </w:tcPr>
          <w:p>
            <w:pPr>
              <w:jc w:val="center"/>
            </w:pPr>
            <w:r>
              <w:t>Результаты обучения (единицы ключевых компетенций)</w:t>
            </w:r>
          </w:p>
        </w:tc>
      </w:tr>
      <w:tr>
        <w:trPr>
          <w:tblHeader w:val="1"/>
        </w:trPr>
        <w:tc>
          <w:tcPr>
            <w:vMerge w:val="continue"/>
          </w:tcPr>
          <w:p/>
        </w:tc>
        <w:tc>
          <w:tcPr>
            <w:tcW w:w="2015" w:type="pct"/>
          </w:tcPr>
          <w:p>
            <w:pPr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>
            <w:pPr>
              <w:jc w:val="center"/>
            </w:pPr>
            <w:r>
              <w:t>дисциплины</w:t>
            </w:r>
          </w:p>
        </w:tc>
      </w:tr>
      <w:tr>
        <w:tc>
          <w:tcPr>
            <w:vMerge w:val="restart"/>
          </w:tcPr>
          <w:p>
            <w:pPr>
              <w:jc w:val="center"/>
            </w:pPr>
            <w:r>
              <w:rPr>
                <w:sz w:val="20"/>
              </w:rPr>
              <w:t>КК8 - Способность осуществлять оперативное управление деятельностью организации</w:t>
            </w:r>
          </w:p>
        </w:tc>
        <w:tc>
          <w:p>
            <w:r>
              <w:rPr>
                <w:sz w:val="20"/>
              </w:rPr>
              <w:t>РО15 - Обладать знаниями в области управления текущей деятельностью предприятия, проектирования производственных систем, уметь эффективно использовать ресурсный потенциал предприятия</w:t>
            </w:r>
          </w:p>
        </w:tc>
        <w:tc>
          <w:tcPr>
            <w:vMerge w:val="restart"/>
          </w:tcPr>
          <w:p>
            <w:pPr>
              <w:ind w:firstLine="567"/>
            </w:pPr>
            <w:r>
              <w:rPr>
                <w:sz w:val="20"/>
              </w:rPr>
              <w:t>- специфики инновационного менеджмента, его отличия от других видов управленческой деятельности</w:t>
            </w:r>
          </w:p>
          <w:p>
            <w:pPr>
              <w:ind w:firstLine="567"/>
            </w:pPr>
            <w:r>
              <w:rPr>
                <w:sz w:val="20"/>
              </w:rPr>
              <w:t>- содержания инновационной деятельности и инновационного процесса, их взаимосвязи</w:t>
            </w:r>
          </w:p>
          <w:p>
            <w:pPr>
              <w:ind w:firstLine="567"/>
            </w:pPr>
            <w:r>
              <w:rPr>
                <w:sz w:val="20"/>
              </w:rPr>
              <w:t>- особенностей финансового обеспечения инноваций и условий применения
соответствующих финансовых источников</w:t>
            </w:r>
          </w:p>
          <w:p>
            <w:pPr>
              <w:ind w:firstLine="567"/>
            </w:pPr>
            <w:r>
              <w:rPr>
                <w:sz w:val="20"/>
              </w:rPr>
              <w:t>- особенностей государственного регулирования инновационной сферы путем использования различных механизмов, в частности, связанных с защитой интеллектуальной собственности</w:t>
            </w:r>
          </w:p>
          <w:p>
            <w:pPr>
              <w:ind w:firstLine="567"/>
            </w:pPr>
            <w:r>
              <w:rPr>
                <w:sz w:val="20"/>
              </w:rPr>
              <w:t>- реализация полученных знаний как при управлении организациями различных форм собственности, размеров и масштабов бизнеса, так и для оказания консультационных услуг</w:t>
            </w:r>
          </w:p>
          <w:p>
            <w:pPr>
              <w:ind w:firstLine="567"/>
            </w:pPr>
            <w:r>
              <w:rPr>
                <w:sz w:val="20"/>
              </w:rPr>
              <w:t>- проведение оценки инвестиционной привлекательности инновационных проектов</w:t>
            </w:r>
          </w:p>
          <w:p>
            <w:pPr>
              <w:ind w:firstLine="567"/>
            </w:pPr>
            <w:r>
              <w:rPr>
                <w:sz w:val="20"/>
              </w:rPr>
              <w:t>- возможность использования отечественного и международного опыта разработки
инновационных проектов, внедрения инноваций, получения позитивных результатов с выходом на мировые рынки</w:t>
            </w:r>
          </w:p>
          <w:p>
            <w:pPr>
              <w:ind w:firstLine="567"/>
            </w:pPr>
            <w:r>
              <w:rPr>
                <w:sz w:val="20"/>
              </w:rPr>
              <w:t>- самостоятельная работа с литературой, написание рефератов, научных статей на актуальные темы по инновационным процессам</w:t>
            </w:r>
          </w:p>
          <w:p>
            <w:pPr>
              <w:ind w:firstLine="567"/>
            </w:pPr>
            <w:r>
              <w:rPr>
                <w:sz w:val="20"/>
              </w:rPr>
              <w:t>- владение навыками чтения и корректной трактовки научных, аналитических, статистических отчетов и методами оценки инновационного развития</w:t>
            </w:r>
          </w:p>
          <w:p>
            <w:pPr>
              <w:ind w:firstLine="567"/>
            </w:pPr>
            <w:r>
              <w:rPr>
                <w:sz w:val="20"/>
              </w:rPr>
              <w:t>- эффективное взаимодействие в команде</w:t>
            </w:r>
          </w:p>
          <w:p>
            <w:pPr>
              <w:ind w:firstLine="567"/>
            </w:pPr>
            <w:r>
              <w:rPr>
                <w:sz w:val="20"/>
              </w:rPr>
              <w:t>- способность взвешенно и последовательно преодолевать различные конфликтные ситуации, встречающихся в на всех этапах инновационного процесса</w:t>
            </w:r>
          </w:p>
          <w:p>
            <w:pPr>
              <w:ind w:firstLine="567"/>
            </w:pPr>
            <w:r>
              <w:rPr>
                <w:sz w:val="20"/>
              </w:rPr>
              <w:t>- критическое восприятие и корректная оценка людей, включая их
индивидуальные характерологические особенности, цели, мотивы, намерения, состояния, коллаборация</w:t>
            </w:r>
          </w:p>
          <w:p>
            <w:pPr>
              <w:ind w:firstLine="567"/>
            </w:pPr>
            <w:r>
              <w:rPr>
                <w:sz w:val="20"/>
              </w:rPr>
              <w:t>- владение культурой мышления, способностью к восприятию, обобщению и анализу информации, постановок цели и выбору путей ее достижения</w:t>
            </w:r>
          </w:p>
          <w:p>
            <w:pPr>
              <w:ind w:firstLine="567"/>
            </w:pPr>
            <w:r>
              <w:rPr>
                <w:sz w:val="20"/>
              </w:rPr>
              <w:t>- способность участвовать в разработке инновационной стратегии организаций, планирование и осуществление мероприятия, направленных на ее последовательную реализацию</w:t>
            </w:r>
          </w:p>
          <w:p>
            <w:pPr>
              <w:ind w:firstLine="567"/>
            </w:pPr>
            <w:r>
              <w:rPr>
                <w:sz w:val="20"/>
              </w:rPr>
              <w:t>- умение логически верно, аргументировано и ясно строить устную и письменную речь, способность осуществлять деловое общение, в том числе проводить в будущем презентации выполненных учебных и проектных работ</w:t>
            </w:r>
          </w:p>
        </w:tc>
      </w:tr>
    </w:tbl>
    <w:p/>
    <w:p>
      <w:pPr>
        <w:jc w:val="center"/>
      </w:pPr>
      <w:r>
        <w:rPr>
          <w:b w:val="1"/>
        </w:rPr>
        <w:t>1.4 Образовательные технологии, применяемые при освоении дисциплины</w:t>
      </w:r>
    </w:p>
    <w:p/>
    <w:p>
      <w:pPr>
        <w:jc w:val="center"/>
      </w:pPr>
      <w:r>
        <w:rPr>
          <w:b w:val="1"/>
        </w:rPr>
        <w:t>1.4.1 Основные образовательные технологии</w:t>
      </w:r>
    </w:p>
    <w:p/>
    <w:p>
      <w:pPr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/>
    <w:p/>
    <w:p>
      <w:pPr>
        <w:jc w:val="center"/>
      </w:pPr>
      <w:r>
        <w:rPr>
          <w:b w:val="1"/>
        </w:rPr>
        <w:t>1.4.2 Адаптивные образовательные технологии (инклюзивное обучение)</w:t>
      </w:r>
    </w:p>
    <w:p/>
    <w:p>
      <w:pPr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/>
    <w:p/>
    <w:p>
      <w:pPr>
        <w:jc w:val="center"/>
      </w:pPr>
      <w:r>
        <w:rPr>
          <w:b w:val="1"/>
        </w:rPr>
        <w:t>1.4.3 Инновационные образовательные технологии</w:t>
      </w:r>
    </w:p>
    <w:p/>
    <w:p>
      <w:pPr>
        <w:ind w:firstLine="567"/>
      </w:pPr>
      <w:r>
        <w:t>При проведении учебных занятий предусматривается использование следующих инновационных образовательных технологий:</w:t>
      </w:r>
    </w:p>
    <w:p/>
    <w:p>
      <w:pPr>
        <w:jc w:val="center"/>
      </w:pPr>
      <w:r>
        <w:rPr>
          <w:b w:val="1"/>
        </w:rPr>
        <w:t>1.5 Пререквизиты</w:t>
      </w:r>
    </w:p>
    <w:p/>
    <w:p>
      <w:pPr>
        <w:ind w:firstLine="567"/>
      </w:pPr>
      <w:r>
        <w:t>- Теория управления организацией </w:t>
      </w:r>
    </w:p>
    <w:p/>
    <w:p>
      <w:pPr>
        <w:jc w:val="center"/>
      </w:pPr>
      <w:r>
        <w:rPr>
          <w:b w:val="1"/>
        </w:rPr>
        <w:t>1.6 Постреквизиты</w:t>
      </w:r>
    </w:p>
    <w:p/>
    <w:p>
      <w:pPr>
        <w:ind w:firstLine="567"/>
      </w:pPr>
    </w:p>
    <w:p/>
    <w:p>
      <w:pPr>
        <w:jc w:val="center"/>
      </w:pPr>
      <w:r>
        <w:rPr>
          <w:b w:val="1"/>
        </w:rPr>
        <w:t>1.7 Трудоемкость дисциплины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type="pct" w:w="3500"/>
          </w:tcPr>
          <w:p>
            <w:r>
              <w:t>Виды работ</w:t>
            </w:r>
          </w:p>
        </w:tc>
        <w:tc>
          <w:tcPr>
            <w:tcW w:type="pct" w:w="1500"/>
          </w:tcPr>
          <w:p>
            <w:pPr>
              <w:jc w:val="center"/>
            </w:pPr>
            <w:r>
              <w:t>часы</w:t>
            </w:r>
          </w:p>
        </w:tc>
      </w:tr>
      <w:tr>
        <w:tc>
          <w:p>
            <w:r>
              <w:t>Лекции</w:t>
            </w:r>
          </w:p>
        </w:tc>
        <w:tc>
          <w:p>
            <w:pPr>
              <w:jc w:val="center"/>
            </w:pPr>
            <w:r>
              <w:t>15</w:t>
            </w:r>
          </w:p>
        </w:tc>
      </w:tr>
      <w:tr>
        <w:tc>
          <w:p>
            <w:r>
              <w:t>Практические работы</w:t>
            </w:r>
          </w:p>
        </w:tc>
        <w:tc>
          <w:p>
            <w:pPr>
              <w:jc w:val="center"/>
            </w:pPr>
            <w:r>
              <w:t>30</w:t>
            </w:r>
          </w:p>
        </w:tc>
      </w:tr>
      <w:tr>
        <w:tc>
          <w:p>
            <w:r>
              <w:t>СРОП</w:t>
            </w:r>
          </w:p>
        </w:tc>
        <w:tc>
          <w:p>
            <w:pPr>
              <w:jc w:val="center"/>
            </w:pPr>
            <w:r>
              <w:t>15</w:t>
            </w:r>
          </w:p>
        </w:tc>
      </w:tr>
      <w:tr>
        <w:tc>
          <w:p>
            <w:r>
              <w:t>СРО</w:t>
            </w:r>
          </w:p>
        </w:tc>
        <w:tc>
          <w:p>
            <w:pPr>
              <w:jc w:val="center"/>
            </w:pPr>
            <w:r>
              <w:t>60</w:t>
            </w:r>
          </w:p>
        </w:tc>
      </w:tr>
      <w:tr>
        <w:tc>
          <w:p>
            <w:pPr>
              <w:jc w:val="left"/>
            </w:pPr>
            <w:r>
              <w:t>Форма проведения итогового контроля</w:t>
            </w:r>
          </w:p>
        </w:tc>
        <w:tc>
          <w:p>
            <w:pPr>
              <w:jc w:val="center"/>
            </w:pPr>
            <w:r>
              <w:t>экзамен</w:t>
            </w:r>
          </w:p>
        </w:tc>
      </w:tr>
    </w:tbl>
    <w:p/>
    <w:p>
      <w:pPr>
        <w:jc w:val="center"/>
      </w:pPr>
      <w:r>
        <w:rPr>
          <w:b w:val="1"/>
        </w:rPr>
        <w:t>2 СОДЕРЖАНИЕ ДИСЦИПЛИНЫ</w:t>
      </w:r>
    </w:p>
    <w:p/>
    <w:p>
      <w:pPr>
        <w:jc w:val="center"/>
      </w:pPr>
      <w:r>
        <w:rPr>
          <w:b w:val="1"/>
        </w:rPr>
        <w:t>2.1 Тематический план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w="147" w:type="pct"/>
          </w:tcPr>
          <w:p>
            <w:pPr>
              <w:jc w:val="center"/>
            </w:pPr>
            <w:r>
              <w:t>№</w:t>
            </w:r>
          </w:p>
        </w:tc>
        <w:tc>
          <w:tcPr>
            <w:tcW w:w="3383" w:type="pct"/>
          </w:tcPr>
          <w:p>
            <w:pPr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>
            <w:pPr>
              <w:jc w:val="center"/>
            </w:pPr>
            <w:r>
              <w:t>Трудоемкость в часах</w:t>
            </w:r>
          </w:p>
        </w:tc>
        <w:tc>
          <w:tcPr>
            <w:tcW w:w="653" w:type="pct"/>
          </w:tcPr>
          <w:p>
            <w:pPr>
              <w:jc w:val="center"/>
            </w:pPr>
            <w:r>
              <w:t>Ссылка на литературу</w:t>
            </w:r>
          </w:p>
        </w:tc>
      </w:tr>
      <w:tr>
        <w:tc>
          <w:tcPr>
            <w:gridSpan w:val="4"/>
          </w:tcPr>
          <w:p>
            <w:pPr>
              <w:jc w:val="center"/>
            </w:pPr>
            <w:r>
              <w:rPr>
                <w:b w:val="1"/>
              </w:rPr>
              <w:t>Лекционные занятия</w:t>
            </w:r>
          </w:p>
        </w:tc>
      </w:tr>
      <w:tr>
        <w:tc>
          <w:p>
            <w:pPr>
              <w:jc w:val="center"/>
            </w:pPr>
            <w:r>
              <w:t>1</w:t>
            </w:r>
          </w:p>
        </w:tc>
        <w:tc>
          <w:p>
            <w:r>
              <w:t>Тема 1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</w:t>
            </w:r>
          </w:p>
        </w:tc>
      </w:tr>
      <w:tr>
        <w:tc>
          <w:tcPr>
            <w:gridSpan w:val="2"/>
          </w:tcPr>
          <w:p>
            <w:r>
              <w:rPr>
                <w:b w:val="1"/>
              </w:rPr>
              <w:t>ИТОГО</w:t>
            </w:r>
          </w:p>
        </w:tc>
        <w:tc>
          <w:p>
            <w:pPr>
              <w:jc w:val="center"/>
            </w:pPr>
            <w:r>
              <w:rPr>
                <w:b w:val="1"/>
              </w:rPr>
              <w:t>0</w:t>
            </w:r>
          </w:p>
        </w:tc>
        <w:tc>
          <w:p/>
        </w:tc>
      </w:tr>
      <w:tr>
        <w:tc>
          <w:tcPr>
            <w:gridSpan w:val="4"/>
          </w:tcPr>
          <w:p>
            <w:pPr>
              <w:jc w:val="center"/>
            </w:pPr>
            <w:r>
              <w:rPr>
                <w:b w:val="1"/>
              </w:rPr>
              <w:t>Практические занятия</w:t>
            </w:r>
          </w:p>
        </w:tc>
      </w:tr>
      <w:tr>
        <w:tc>
          <w:p>
            <w:pPr>
              <w:jc w:val="center"/>
            </w:pPr>
            <w:r>
              <w:t>1</w:t>
            </w:r>
          </w:p>
        </w:tc>
        <w:tc>
          <w:p>
            <w:r>
              <w:t>Тема 1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</w:t>
            </w:r>
          </w:p>
        </w:tc>
      </w:tr>
      <w:tr>
        <w:tc>
          <w:tcPr>
            <w:gridSpan w:val="2"/>
          </w:tcPr>
          <w:p>
            <w:r>
              <w:rPr>
                <w:b w:val="1"/>
              </w:rPr>
              <w:t>ИТОГО</w:t>
            </w:r>
          </w:p>
        </w:tc>
        <w:tc>
          <w:p>
            <w:pPr>
              <w:jc w:val="center"/>
            </w:pPr>
            <w:r>
              <w:rPr>
                <w:b w:val="1"/>
              </w:rPr>
              <w:t>0</w:t>
            </w:r>
          </w:p>
        </w:tc>
        <w:tc>
          <w:p/>
        </w:tc>
      </w:tr>
    </w:tbl>
    <w:p/>
    <w:p>
      <w:pPr>
        <w:jc w:val="center"/>
      </w:pPr>
      <w:r>
        <w:rPr>
          <w:b w:val="1"/>
        </w:rPr>
        <w:t>2.2 Задания для самостоятельной работы обучающегося (СРО)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rHeight w:val="1229"/>
          <w:tblHeader w:val="1"/>
        </w:trPr>
        <w:tc>
          <w:tcPr>
            <w:tcW w:w="1026" w:type="pct"/>
          </w:tcPr>
          <w:p>
            <w:pPr>
              <w:jc w:val="center"/>
            </w:pPr>
            <w:r>
              <w:t>Тема</w:t>
            </w:r>
          </w:p>
        </w:tc>
        <w:tc>
          <w:tcPr>
            <w:tcW w:w="1140" w:type="pct"/>
          </w:tcPr>
          <w:p>
            <w:pPr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>
            <w:pPr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>
            <w:pPr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>
            <w:pPr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>
            <w:pPr>
              <w:jc w:val="center"/>
            </w:pPr>
            <w:r>
              <w:t>Ссылка на литературу</w:t>
            </w:r>
          </w:p>
        </w:tc>
      </w:tr>
      <w:tr>
        <w:tc>
          <w:p/>
        </w:tc>
        <w:tc>
          <w:p/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</w:tbl>
    <w:p/>
    <w:p>
      <w:pPr>
        <w:jc w:val="center"/>
      </w:pPr>
      <w:r>
        <w:rPr>
          <w:b w:val="1"/>
        </w:rPr>
        <w:t>2.3 График сдачи заданий по дисциплине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type="pct" w:w="1850"/>
            <w:vMerge w:val="restart"/>
          </w:tcPr>
          <w:p>
            <w:pPr>
              <w:jc w:val="center"/>
            </w:pPr>
            <w:r>
              <w:t>Вид задания</w:t>
            </w:r>
          </w:p>
        </w:tc>
        <w:tc>
          <w:tcPr>
            <w:gridSpan w:val="10"/>
          </w:tcPr>
          <w:p>
            <w:pPr>
              <w:jc w:val="center"/>
            </w:pPr>
            <w:r>
              <w:t>Академический период обучения, неделя</w:t>
            </w:r>
          </w:p>
        </w:tc>
      </w:tr>
      <w:tr>
        <w:trPr>
          <w:tblHeader w:val="1"/>
        </w:trPr>
        <w:tc>
          <w:tcPr>
            <w:vMerge w:val="continue"/>
          </w:tcPr>
          <w:p/>
        </w:tc>
        <w:tc>
          <w:tcPr>
            <w:tcW w:type="pct" w:w="315"/>
          </w:tcPr>
          <w:p>
            <w:pPr>
              <w:jc w:val="center"/>
            </w:pPr>
            <w:r>
              <w:t>1</w:t>
            </w:r>
          </w:p>
        </w:tc>
        <w:tc>
          <w:tcPr>
            <w:tcW w:type="pct" w:w="315"/>
          </w:tcPr>
          <w:p>
            <w:pPr>
              <w:jc w:val="center"/>
            </w:pPr>
            <w:r>
              <w:t>2</w:t>
            </w:r>
          </w:p>
        </w:tc>
        <w:tc>
          <w:tcPr>
            <w:tcW w:type="pct" w:w="315"/>
          </w:tcPr>
          <w:p>
            <w:pPr>
              <w:jc w:val="center"/>
            </w:pPr>
            <w:r>
              <w:t>3</w:t>
            </w:r>
          </w:p>
        </w:tc>
        <w:tc>
          <w:tcPr>
            <w:tcW w:type="pct" w:w="315"/>
          </w:tcPr>
          <w:p>
            <w:pPr>
              <w:jc w:val="center"/>
            </w:pPr>
            <w:r>
              <w:t>4</w:t>
            </w:r>
          </w:p>
        </w:tc>
        <w:tc>
          <w:tcPr>
            <w:tcW w:type="pct" w:w="315"/>
          </w:tcPr>
          <w:p>
            <w:pPr>
              <w:jc w:val="center"/>
            </w:pPr>
            <w:r>
              <w:t>5</w:t>
            </w:r>
          </w:p>
        </w:tc>
        <w:tc>
          <w:tcPr>
            <w:tcW w:type="pct" w:w="315"/>
          </w:tcPr>
          <w:p>
            <w:pPr>
              <w:jc w:val="center"/>
            </w:pPr>
            <w:r>
              <w:t>6</w:t>
            </w:r>
          </w:p>
        </w:tc>
        <w:tc>
          <w:tcPr>
            <w:tcW w:type="pct" w:w="315"/>
          </w:tcPr>
          <w:p>
            <w:pPr>
              <w:jc w:val="center"/>
            </w:pPr>
            <w:r>
              <w:t>7</w:t>
            </w:r>
          </w:p>
        </w:tc>
        <w:tc>
          <w:tcPr>
            <w:tcW w:type="pct" w:w="315"/>
          </w:tcPr>
          <w:p>
            <w:pPr>
              <w:jc w:val="center"/>
            </w:pPr>
            <w:r>
              <w:t>8</w:t>
            </w:r>
          </w:p>
        </w:tc>
        <w:tc>
          <w:tcPr>
            <w:tcW w:type="pct" w:w="315"/>
          </w:tcPr>
          <w:p>
            <w:pPr>
              <w:jc w:val="center"/>
            </w:pPr>
            <w:r>
              <w:t>9</w:t>
            </w:r>
          </w:p>
        </w:tc>
        <w:tc>
          <w:tcPr>
            <w:tcW w:type="pct" w:w="315"/>
          </w:tcPr>
          <w:p>
            <w:pPr>
              <w:jc w:val="center"/>
            </w:pPr>
            <w:r>
              <w:t>10</w:t>
            </w:r>
          </w:p>
        </w:tc>
      </w:tr>
      <w:tr>
        <w:tc>
          <w:tcPr>
            <w:gridSpan w:val="11"/>
          </w:tcPr>
          <w:p>
            <w:pPr>
              <w:jc w:val="center"/>
            </w:pPr>
            <w:r>
              <w:t>Знание</w:t>
            </w:r>
          </w:p>
        </w:tc>
      </w:tr>
      <w:tr>
        <w:tc>
          <w:p/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tcPr>
            <w:gridSpan w:val="16"/>
          </w:tcPr>
          <w:p>
            <w:pPr>
              <w:jc w:val="center"/>
            </w:pPr>
            <w:r>
              <w:t>Понимание</w:t>
            </w:r>
          </w:p>
        </w:tc>
      </w:tr>
      <w:tr>
        <w:tc>
          <w:p/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tcPr>
            <w:gridSpan w:val="16"/>
          </w:tcPr>
          <w:p>
            <w:pPr>
              <w:jc w:val="center"/>
            </w:pPr>
            <w:r>
              <w:t>Применение</w:t>
            </w:r>
          </w:p>
        </w:tc>
      </w:tr>
      <w:tr>
        <w:tc>
          <w:p/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tcPr>
            <w:gridSpan w:val="16"/>
          </w:tcPr>
          <w:p>
            <w:pPr>
              <w:jc w:val="center"/>
            </w:pPr>
            <w:r>
              <w:t>Анализ</w:t>
            </w:r>
          </w:p>
        </w:tc>
      </w:tr>
      <w:tr>
        <w:tc>
          <w:p/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</w:tbl>
    <w:p/>
    <w:p>
      <w:pPr>
        <w:jc w:val="center"/>
      </w:pPr>
      <w:r>
        <w:rPr>
          <w:b w:val="1"/>
        </w:rPr>
        <w:t>3 ОЦЕНКА ЗНАНИЙ ОБУЧАЮЩЕГОСЯ</w:t>
      </w:r>
    </w:p>
    <w:p/>
    <w:p>
      <w:pPr>
        <w:ind w:firstLine="567"/>
      </w:pPr>
      <w:r>
        <w:t>Преподаватель проводит все виды текущего контроля и выводит соответствующую оценку текущей успеваемости обучающихся два раза в академический период (семестр, триместр, квартал). По результатам текущего контроля формируется рейтинг 1 и 2. При этом учебные достижения обучающегося оцениваются путем накапливания баллов по отдельным видам заданий от 0 до 100. Оценка работы обучающегося в академическом периоде осуществляется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type="pct" w:w="500"/>
          </w:tcPr>
          <w:p>
            <w:pPr>
              <w:jc w:val="center"/>
            </w:pPr>
            <w:r>
              <w:t>Период</w:t>
            </w:r>
          </w:p>
        </w:tc>
        <w:tc>
          <w:tcPr>
            <w:tcW w:type="pct" w:w="2500"/>
          </w:tcPr>
          <w:p>
            <w:pPr>
              <w:jc w:val="center"/>
            </w:pPr>
            <w:r>
              <w:t>Вид задания</w:t>
            </w:r>
          </w:p>
        </w:tc>
        <w:tc>
          <w:tcPr>
            <w:tcW w:type="pct" w:w="1000"/>
          </w:tcPr>
          <w:p>
            <w:pPr>
              <w:jc w:val="center"/>
            </w:pPr>
            <w:r>
              <w:t>Количество баллов (max)</w:t>
            </w:r>
          </w:p>
        </w:tc>
        <w:tc>
          <w:tcPr>
            <w:tcW w:type="pct" w:w="500"/>
          </w:tcPr>
          <w:p>
            <w:pPr>
              <w:jc w:val="center"/>
            </w:pPr>
            <w:r>
              <w:t>Итого</w:t>
            </w:r>
          </w:p>
        </w:tc>
      </w:tr>
      <w:tr>
        <w:tc>
          <w:tcPr>
            <w:tcW w:w="0" w:type="auto"/>
            <w:vMerge w:val="restart"/>
          </w:tcPr>
          <w:p>
            <w:pPr>
              <w:jc w:val="center"/>
            </w:pPr>
            <w:r>
              <w:t>1-й рубежный контроль</w:t>
            </w:r>
          </w:p>
        </w:tc>
        <w:tc>
          <w:tcPr>
            <w:tcW w:w="0" w:type="auto"/>
          </w:tcPr>
          <w:p/>
        </w:tc>
        <w:tc>
          <w:tcPr>
            <w:tcW w:w="0" w:type="auto"/>
          </w:tcPr>
          <w:p>
            <w:pPr>
              <w:jc w:val="center"/>
            </w:pPr>
          </w:p>
        </w:tc>
        <w:tc>
          <w:tcPr>
            <w:tcW w:w="0" w:type="auto"/>
            <w:vMerge w:val="restart"/>
          </w:tcPr>
          <w:p>
            <w:pPr>
              <w:jc w:val="center"/>
            </w:pPr>
            <w:r>
              <w:t>0-100</w:t>
            </w: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/>
        </w:tc>
        <w:tc>
          <w:tcPr>
            <w:tcW w:w="0" w:type="auto"/>
          </w:tcPr>
          <w:p>
            <w:pPr>
              <w:jc w:val="center"/>
            </w:pP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/>
        </w:tc>
        <w:tc>
          <w:tcPr>
            <w:tcW w:w="0" w:type="auto"/>
          </w:tcPr>
          <w:p>
            <w:pPr>
              <w:jc w:val="center"/>
            </w:pP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tcPr>
            <w:tcW w:w="0" w:type="auto"/>
            <w:vMerge w:val="restart"/>
          </w:tcPr>
          <w:p>
            <w:pPr>
              <w:jc w:val="center"/>
            </w:pPr>
            <w:r>
              <w:t>2-й рубежный контроль</w:t>
            </w:r>
          </w:p>
        </w:tc>
        <w:tc>
          <w:tcPr>
            <w:tcW w:w="0" w:type="auto"/>
          </w:tcPr>
          <w:p/>
        </w:tc>
        <w:tc>
          <w:tcPr>
            <w:tcW w:w="0" w:type="auto"/>
          </w:tcPr>
          <w:p>
            <w:pPr>
              <w:jc w:val="center"/>
            </w:pPr>
          </w:p>
        </w:tc>
        <w:tc>
          <w:tcPr>
            <w:tcW w:w="0" w:type="auto"/>
            <w:vMerge w:val="restart"/>
          </w:tcPr>
          <w:p>
            <w:pPr>
              <w:jc w:val="center"/>
            </w:pPr>
            <w:r>
              <w:t>0-100</w:t>
            </w: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/>
        </w:tc>
        <w:tc>
          <w:tcPr>
            <w:tcW w:w="0" w:type="auto"/>
          </w:tcPr>
          <w:p>
            <w:pPr>
              <w:jc w:val="center"/>
            </w:pP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/>
        </w:tc>
        <w:tc>
          <w:tcPr>
            <w:tcW w:w="0" w:type="auto"/>
          </w:tcPr>
          <w:p>
            <w:pPr>
              <w:jc w:val="center"/>
            </w:pP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p>
            <w:pPr>
              <w:jc w:val="center"/>
            </w:pPr>
            <w:r>
              <w:t>Итоговый контроль</w:t>
            </w:r>
          </w:p>
        </w:tc>
        <w:tc>
          <w:tcPr>
            <w:hMerge w:val="restart"/>
          </w:tcPr>
          <w:p>
            <w:r>
              <w:t>экзамен</w:t>
            </w:r>
          </w:p>
        </w:tc>
        <w:tc>
          <w:tcPr>
            <w:hMerge w:val="continue"/>
          </w:tcPr>
          <w:p/>
        </w:tc>
        <w:tc>
          <w:p>
            <w:pPr>
              <w:jc w:val="center"/>
            </w:pPr>
            <w:r>
              <w:t>0-100</w:t>
            </w:r>
          </w:p>
        </w:tc>
      </w:tr>
    </w:tbl>
    <w:p/>
    <w:p>
      <w:pPr>
        <w:ind w:firstLine="567"/>
      </w:pPr>
      <w:r>
        <w:t>Итоговая оценка знаний обучающего по дисциплине осуществляется по 100 балльной системе и включает:</w:t>
      </w:r>
    </w:p>
    <w:p>
      <w:pPr>
        <w:ind w:firstLine="567"/>
      </w:pPr>
      <w:r>
        <w:t>- 40% результата, полученного на экзамене;</w:t>
      </w:r>
    </w:p>
    <w:p>
      <w:pPr>
        <w:ind w:firstLine="567"/>
      </w:pPr>
      <w:r>
        <w:t>- 60% результатов текущей успеваемости.</w:t>
      </w:r>
    </w:p>
    <w:p/>
    <w:p>
      <w:pPr>
        <w:ind w:firstLine="567"/>
      </w:pPr>
      <w:r>
        <w:t>Формула подсчета итоговой оценки:</w:t>
      </w:r>
    </w:p>
    <w:p/>
    <w:p>
      <w:pPr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  <m:ctrlPr>
                  <w:rPr>
                    <w:rFonts w:ascii="Cambria Math"/>
                    <w:i/>
                    <w:szCs w:val="28"/>
                  </w:rPr>
                </m:ctrlP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  <m:ctrlPr>
                  <w:rPr>
                    <w:rFonts w:ascii="Cambria Math"/>
                    <w:i/>
                    <w:szCs w:val="28"/>
                  </w:rPr>
                </m:ctrlPr>
              </m:sub>
            </m:sSub>
            <m:ctrlPr>
              <w:rPr>
                <w:rFonts w:ascii="Cambria Math"/>
                <w:i/>
                <w:szCs w:val="28"/>
              </w:rPr>
            </m:ctrlPr>
          </m:num>
          <m:den>
            <m:r>
              <w:rPr>
                <w:rFonts w:ascii="Cambria Math"/>
                <w:szCs w:val="28"/>
              </w:rPr>
              <m:t>2</m:t>
            </m:r>
            <m:ctrlPr>
              <w:rPr>
                <w:rFonts w:ascii="Cambria Math"/>
                <w:i/>
                <w:szCs w:val="28"/>
              </w:rPr>
            </m:ctrlP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  <w:tab/>
        <w:tab/>
        <w:tab/>
        <w:tab/>
        <w:t>(1)</w:t>
      </w:r>
    </w:p>
    <w:p/>
    <w:p>
      <w:pPr>
        <w:ind w:firstLine="567"/>
      </w:pPr>
      <w:r>
        <w:t>где, 	 Р1, Р2 – цифровые эквиваленты оценок первого, второго рейтингов соответственно; Э – цифровой эквивалент оценки на экзамене.</w:t>
      </w:r>
    </w:p>
    <w:p/>
    <w:p>
      <w:pPr>
        <w:ind w:firstLine="567"/>
      </w:pPr>
      <w:r>
        <w:t>Итоговая буквенная оценка и ее цифровой эквивалент в баллах:</w:t>
      </w:r>
    </w:p>
    <w:p/>
    <w:p>
      <w:pPr>
        <w:ind w:firstLine="567"/>
      </w:pPr>
      <w:r>
        <w:rPr>
          <w:b w:val="1"/>
        </w:rPr>
        <w:t>Балльно-рейтинговая буквенная система оценки учета учебных достижений, обучающихся с переводом их в традиционную шкалу оценок и ECTS (иситиэс)</w:t>
      </w:r>
    </w:p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w="600" w:type="pct"/>
          </w:tcPr>
          <w:p>
            <w:pPr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>
            <w:pPr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>
            <w:pPr>
              <w:jc w:val="center"/>
            </w:pPr>
            <w:r>
              <w:t>Баллы (%-ное содержание)</w:t>
            </w:r>
          </w:p>
        </w:tc>
        <w:tc>
          <w:tcPr>
            <w:tcW w:w="800" w:type="pct"/>
          </w:tcPr>
          <w:p>
            <w:pPr>
              <w:jc w:val="center"/>
            </w:pPr>
            <w:r>
              <w:t>Оценка по традиционной системе</w:t>
            </w:r>
          </w:p>
        </w:tc>
        <w:tc>
          <w:p>
            <w:pPr>
              <w:jc w:val="center"/>
            </w:pPr>
            <w:r>
              <w:t>Критерий</w:t>
            </w:r>
          </w:p>
        </w:tc>
      </w:tr>
      <w:tr>
        <w:tc>
          <w:p>
            <w:pPr>
              <w:jc w:val="center"/>
            </w:pPr>
            <w:r>
              <w:t>A</w:t>
            </w:r>
          </w:p>
        </w:tc>
        <w:tc>
          <w:p>
            <w:pPr>
              <w:jc w:val="center"/>
            </w:pPr>
            <w:r>
              <w:t>4.0</w:t>
            </w:r>
          </w:p>
        </w:tc>
        <w:tc>
          <w:p>
            <w:pPr>
              <w:jc w:val="center"/>
            </w:pPr>
            <w:r>
              <w:t>95-100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Отлично</w:t>
            </w:r>
          </w:p>
        </w:tc>
        <w:tc>
          <w:tcPr>
            <w:vMerge w:val="restart"/>
          </w:tcPr>
          <w:p>
            <w:r>
              <w:t>Теоретическое содержание курса освоено полностью, без пробелов необходимые практические навыки работы с освоенным материалом сформированы, все предусмотренные программой обучения учебные задания выполнены, качество их выполнения оценено числом баллов, близким к максимальному.</w:t>
            </w:r>
          </w:p>
        </w:tc>
      </w:tr>
      <w:tr>
        <w:tc>
          <w:p>
            <w:pPr>
              <w:jc w:val="center"/>
            </w:pPr>
            <w:r>
              <w:t>A-</w:t>
            </w:r>
          </w:p>
        </w:tc>
        <w:tc>
          <w:p>
            <w:pPr>
              <w:jc w:val="center"/>
            </w:pPr>
            <w:r>
              <w:t>3.67</w:t>
            </w:r>
          </w:p>
        </w:tc>
        <w:tc>
          <w:p>
            <w:pPr>
              <w:jc w:val="center"/>
            </w:pPr>
            <w:r>
              <w:t>90-94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B+</w:t>
            </w:r>
          </w:p>
        </w:tc>
        <w:tc>
          <w:p>
            <w:pPr>
              <w:jc w:val="center"/>
            </w:pPr>
            <w:r>
              <w:t>3.33</w:t>
            </w:r>
          </w:p>
        </w:tc>
        <w:tc>
          <w:p>
            <w:pPr>
              <w:jc w:val="center"/>
            </w:pPr>
            <w:r>
              <w:t>85-89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Хорошо</w:t>
            </w:r>
          </w:p>
        </w:tc>
        <w:tc>
          <w:tcPr>
            <w:vMerge w:val="restart"/>
          </w:tcPr>
          <w:p>
            <w:r>
              <w:t>Теоретическое содержание курса освоено полностью, без пробелов, некоторые практические навыки работы с освоенным материалом сформированы недостаточно, все предусмотренные программой обучения учебные задания выполнены, качество выполнения ни одного из них не оценено минимальным числом баллов, некоторые виды заданий выполнены с ошибками.</w:t>
            </w:r>
          </w:p>
        </w:tc>
      </w:tr>
      <w:tr>
        <w:tc>
          <w:p>
            <w:pPr>
              <w:jc w:val="center"/>
            </w:pPr>
            <w:r>
              <w:t>B</w:t>
            </w:r>
          </w:p>
        </w:tc>
        <w:tc>
          <w:p>
            <w:pPr>
              <w:jc w:val="center"/>
            </w:pPr>
            <w:r>
              <w:t>3.0</w:t>
            </w:r>
          </w:p>
        </w:tc>
        <w:tc>
          <w:p>
            <w:pPr>
              <w:jc w:val="center"/>
            </w:pPr>
            <w:r>
              <w:t>80-84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B-</w:t>
            </w:r>
          </w:p>
        </w:tc>
        <w:tc>
          <w:p>
            <w:pPr>
              <w:jc w:val="center"/>
            </w:pPr>
            <w:r>
              <w:t>2.67</w:t>
            </w:r>
          </w:p>
        </w:tc>
        <w:tc>
          <w:p>
            <w:pPr>
              <w:jc w:val="center"/>
            </w:pPr>
            <w:r>
              <w:t>75-79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C+</w:t>
            </w:r>
          </w:p>
        </w:tc>
        <w:tc>
          <w:p>
            <w:pPr>
              <w:jc w:val="center"/>
            </w:pPr>
            <w:r>
              <w:t>2.33</w:t>
            </w:r>
          </w:p>
        </w:tc>
        <w:tc>
          <w:p>
            <w:pPr>
              <w:jc w:val="center"/>
            </w:pPr>
            <w:r>
              <w:t>70-74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C</w:t>
            </w:r>
          </w:p>
        </w:tc>
        <w:tc>
          <w:p>
            <w:pPr>
              <w:jc w:val="center"/>
            </w:pPr>
            <w:r>
              <w:t>2.0</w:t>
            </w:r>
          </w:p>
        </w:tc>
        <w:tc>
          <w:p>
            <w:pPr>
              <w:jc w:val="center"/>
            </w:pPr>
            <w:r>
              <w:t>65-69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Удовлетворительно</w:t>
            </w:r>
          </w:p>
        </w:tc>
        <w:tc>
          <w:tcPr>
            <w:vMerge w:val="restart"/>
          </w:tcPr>
          <w:p>
            <w:r>
              <w:t>Теоретическое содержание курса освоено частично, но пробелы не носят существенного характера, необходимые практические навыки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</w:tr>
      <w:tr>
        <w:tc>
          <w:p>
            <w:pPr>
              <w:jc w:val="center"/>
            </w:pPr>
            <w:r>
              <w:t>C-</w:t>
            </w:r>
          </w:p>
        </w:tc>
        <w:tc>
          <w:p>
            <w:pPr>
              <w:jc w:val="center"/>
            </w:pPr>
            <w:r>
              <w:t>1.67</w:t>
            </w:r>
          </w:p>
        </w:tc>
        <w:tc>
          <w:p>
            <w:pPr>
              <w:jc w:val="center"/>
            </w:pPr>
            <w:r>
              <w:t>60-64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D+</w:t>
            </w:r>
          </w:p>
        </w:tc>
        <w:tc>
          <w:p>
            <w:pPr>
              <w:jc w:val="center"/>
            </w:pPr>
            <w:r>
              <w:t>1.33</w:t>
            </w:r>
          </w:p>
        </w:tc>
        <w:tc>
          <w:p>
            <w:pPr>
              <w:jc w:val="center"/>
            </w:pPr>
            <w:r>
              <w:t>55-59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D</w:t>
            </w:r>
          </w:p>
        </w:tc>
        <w:tc>
          <w:p>
            <w:pPr>
              <w:jc w:val="center"/>
            </w:pPr>
            <w:r>
              <w:t>1.0</w:t>
            </w:r>
          </w:p>
        </w:tc>
        <w:tc>
          <w:p>
            <w:pPr>
              <w:jc w:val="center"/>
            </w:pPr>
            <w:r>
              <w:t>50-54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FX</w:t>
            </w:r>
          </w:p>
        </w:tc>
        <w:tc>
          <w:p>
            <w:pPr>
              <w:jc w:val="center"/>
            </w:pPr>
            <w:r>
              <w:t>0.5</w:t>
            </w:r>
          </w:p>
        </w:tc>
        <w:tc>
          <w:p>
            <w:pPr>
              <w:jc w:val="center"/>
            </w:pPr>
            <w:r>
              <w:t>25-49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Неудовлетворительно</w:t>
            </w:r>
          </w:p>
        </w:tc>
        <w:tc>
          <w:tcPr>
            <w:vMerge w:val="restart"/>
          </w:tcPr>
          <w:p>
            <w:r>
              <w:t>Теоретическое содержание курса не освоено, необходимые практические навыки работы не сформированы, выполненные учебные задания содержат грубые ошибки, дополнительная самостоятельная работа над материалом курса не приведет к существенному повышению качества выполнения учебных заданий.</w:t>
            </w:r>
          </w:p>
        </w:tc>
      </w:tr>
      <w:tr>
        <w:tc>
          <w:p>
            <w:pPr>
              <w:jc w:val="center"/>
            </w:pPr>
            <w:r>
              <w:t>F</w:t>
            </w:r>
          </w:p>
        </w:tc>
        <w:tc>
          <w:p>
            <w:pPr>
              <w:jc w:val="center"/>
            </w:pPr>
            <w:r>
              <w:t>0</w:t>
            </w:r>
          </w:p>
        </w:tc>
        <w:tc>
          <w:p>
            <w:pPr>
              <w:jc w:val="center"/>
            </w:pPr>
            <w:r>
              <w:t>0-24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</w:tbl>
    <w:p/>
    <w:p>
      <w:pPr>
        <w:jc w:val="center"/>
      </w:pPr>
      <w:r>
        <w:rPr>
          <w:b w:val="1"/>
        </w:rPr>
        <w:t>4 ПОЛИТИКА ДИСЦИПЛИНЫ</w:t>
      </w:r>
    </w:p>
    <w:p/>
    <w:p>
      <w:pPr>
        <w:ind w:firstLine="567"/>
      </w:pPr>
      <w:r>
        <w:t>Обучающийся обязан:</w:t>
      </w:r>
    </w:p>
    <w:p/>
    <w:p>
      <w:pPr>
        <w:jc w:val="center"/>
      </w:pPr>
      <w:r>
        <w:rPr>
          <w:b w:val="1"/>
        </w:rPr>
        <w:t>5 СПИСОК РЕКОМЕНДУЕМОЙ ЛИТЕРАТУРЫ</w:t>
      </w:r>
    </w:p>
    <w:p/>
    <w:p>
      <w:pPr>
        <w:jc w:val="center"/>
      </w:pPr>
      <w:r>
        <w:rPr>
          <w:b w:val="1"/>
        </w:rPr>
        <w:t>5.1 Основная литература</w:t>
      </w:r>
    </w:p>
    <w:p/>
    <w:p>
      <w:pPr>
        <w:ind w:firstLine="567"/>
      </w:pPr>
      <w:r>
        <w:t>1. 1. Виханский О. С. Менеджмент : учебник / О. С. Виханский, А. И. Наумов. – 3-е изд. – М. : Экономистъ, 2003. – 528 с.
2. Воробьев В. П. Инновационный менеджмент : учебник для вузов / В. П. Воробьев, А. С. Идельменов, С. В. Ильдеменов. – М. : Инфра - М, 2002. – 420 с.
3. Городнов А. Г. Инновационный менеджмент : учебник для вузов / А. Г. Городнов, А. И. Гаврилов, Ю. П. Морозов. – М. : ЮНИТИ, 2003. – 446 с.
4. Гурков И. Б. Инновационное развитие и конкурентоспособность. Очерки развития российских предприятий. – М. : Теис, 2003. – 218 с.
5. Ковалев Г. Д. Основы инновационного менеджмента : учебник для вузов / Г. Д. Ковалев. – М. : ЮНИТИ, 2000. – 328 с.
6. Контуры инновационного развития мировой экономики : Прогноз на 2000 – 2015 гг. / под ред. А. А. Дынкина. – М. : Наука, 2000. – 156 с.
7. Малашихина Н. Н. Риск-менеджмент : учебное пособие / Н. Н. Малашихина, О. С. Белокрылова. – Ростов н/Д: «Феникс», 2004. – 320 с.
8. Маркова В. Д. Стратегический менеджмент : курс лекций / В. Д. Маркова, С. А. Кузнецова. – М. : ИНФРА-М; Новосибирск : Сибирское соглашение, 2003. – 288 с. – (Серия «Высшее образование»).
9. Менеджмент малого бизнеса : учебник / под ред. проф. М. М. Максимова и проф. В. Я. Горфинкеля. – М. : Вузовский учебник, 2004. – 269 с.
10. Мескон М. Х. Основы менеджмента / М. Х. Мескон, М. Альберт, Ф. Хедоури; пер. с англ. – 2-е изд. – М. : Дело, 2004. – 800 с.
11. Михайлов Р. А. Управление инновационными проектами : учебное пособие / Михайлов Р. А. [и др.]; под общ. ред. Ф. Й. Кайзера, Г. Г. Богомазова, З. А. Сабова. – СПб., 2001. – 320 с.
12. Мишин В. М. Исследование систем управления : учебник для вузов / В. М. Мишин. – 2-изд. стереотип. – М. : ЮНИТИ-ДАНА, 2005. – 527 с. – (Серия «Профессиональный учебник: Менеджмент»).
13. Морозов Ю. П. Инновационный менеджмент : учебное пособие для вузов / Ю. П. Морозов. – М. : ЮНИТИ-ДАНА, 2001. – 446 с.
14. Оголева Л. Н. Инновационный менеджмент : учебник для вузов / Л. Н. Оголева. – М. : Инфра-М, 2003. – 327 с.
15. Основы инновационного менеджмента : теория и практика / под. ред. П. Н. Завлина [и др.]. – М. : ЗАО «НПО «Издательство «Экономика», 2000. – 250 с.
16. Фатхутдинов Р. А. Инновационный менеджмент : учебник для ВУЗов / Р. А. Фатхутдинов. - 6-е изд., перераб. и доп. – СПб. : Питер, 2008. – 448 с.
17. Экономический словарь / Е. Г. Багудина, А. К. Большаков [и др.]; отв. ред. А. И. Архипов. – М. : ТК Велби, Изд-во Проспект, 2004. – 624 с.</w:t>
      </w:r>
    </w:p>
    <w:p/>
    <w:p>
      <w:pPr>
        <w:jc w:val="center"/>
      </w:pPr>
      <w:r>
        <w:rPr>
          <w:b w:val="1"/>
        </w:rPr>
        <w:t>5.2 Дополнительная литература</w:t>
      </w:r>
    </w:p>
    <w:p/>
    <w:p>
      <w:pPr>
        <w:ind w:firstLine="567"/>
      </w:pPr>
      <w:r>
        <w:t>Дополнительная литература</w:t>
      </w:r>
    </w:p>
    <w:sectPr>
      <w:headerReference w:type="default" r:id="rId20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header1.xml><?xml version="1.0" encoding="utf-8"?>
<w:hdr xmlns:wp="http://schemas.openxmlformats.org/drawingml/2006/wordprocessingDrawing" xmlns:r="http://schemas.openxmlformats.org/officeDocument/2006/relationships" xmlns:w="http://schemas.openxmlformats.org/wordprocessingml/2006/main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</w:tblPr>
    <w:tblGrid/>
    <w:tr>
      <w:trPr>
        <w:cantSplit/>
        <w:trHeight w:val="353"/>
      </w:trPr>
      <w:tc>
        <w:tcPr>
          <w:tcW w:w="1129" w:type="dxa"/>
          <w:vMerge w:val="restart"/>
          <w:vAlign w:val="center"/>
        </w:tcPr>
        <w:p>
          <w:pPr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gridSpan w:val="2"/>
          <w:vAlign w:val="center"/>
        </w:tcPr>
        <w:p>
          <w:pPr>
            <w:pStyle w:val="header"/>
          </w:pPr>
          <w:r>
            <w:t>ВОСТОЧНО-КАЗАХСТАНСКИЙ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>
          <w:pPr>
            <w:pStyle w:val="header"/>
          </w:pPr>
          <w:r>
            <w:t>Стр. </w:t>
          </w:r>
          <w:r>
            <w:fldChar w:fldCharType="begin"/>
          </w:r>
          <w:r>
            <w:instrText>PAGE</w:instrText>
          </w:r>
          <w:r>
            <w:fldChar w:fldCharType="separate"/>
          </w:r>
          <w:r>
            <w:rPr>
              <w:noProof/>
            </w:rP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>
            <w:rPr>
              <w:noProof/>
            </w:rPr>
            <w:fldChar w:fldCharType="end"/>
          </w:r>
        </w:p>
      </w:tc>
    </w:tr>
    <w:tr>
      <w:trPr>
        <w:cantSplit/>
        <w:trHeight w:val="310"/>
      </w:trPr>
      <w:tc>
        <w:tcPr>
          <w:tcW w:w="1129" w:type="dxa"/>
          <w:vMerge/>
        </w:tcPr>
        <w:p/>
      </w:tc>
      <w:tc>
        <w:tcPr>
          <w:tcW w:w="1921" w:type="dxa"/>
          <w:vAlign w:val="center"/>
        </w:tcPr>
        <w:p>
          <w:pPr>
            <w:pStyle w:val="header"/>
          </w:pPr>
          <w:r>
            <w:t>Система менеджмента качества</w:t>
          </w:r>
        </w:p>
      </w:tc>
      <w:tc>
        <w:tcPr>
          <w:vAlign w:val="center"/>
        </w:tcPr>
        <w:p>
          <w:pPr>
            <w:pStyle w:val="header"/>
          </w:pPr>
          <w:r>
            <w:t>И-НАО "ВКТУ" 026-II-2021</w:t>
          </w:r>
        </w:p>
        <w:p>
          <w:pPr>
            <w:pStyle w:val="header"/>
          </w:pPr>
          <w:r>
            <w:t>Разработка и оформление рабочей учебной программы (силлабус) в НАО «ВКТУ имени Д. Серикбаева»</w:t>
          </w:r>
        </w:p>
      </w:tc>
      <w:tc>
        <w:tcPr>
          <w:tcW w:w="1501" w:type="dxa"/>
          <w:vMerge/>
        </w:tcPr>
        <w:p/>
      </w:tc>
    </w:tr>
  </w:tbl>
  <w:p/>
</w:hdr>
</file>

<file path=word/settings.xml><?xml version="1.0" encoding="utf-8"?>
<w:settings xmlns:w="http://schemas.openxmlformats.org/wordprocessingml/2006/main">
  <w:view w:val="print"/>
  <w:zoom w:percent="100"/>
</w:settings>
</file>

<file path=word/styles.xml><?xml version="1.0" encoding="utf-8"?>
<w:styles xmlns:w="http://schemas.openxmlformats.org/wordprocessingml/2006/main">
  <w:style w:default="true" w:type="paragraph" w:styleId="default">
    <w:pPr>
      <w:spacing w:after="0" w:line="240" w:lineRule="auto"/>
      <w:jc w:val="both"/>
    </w:pPr>
    <w:rPr>
      <w:rFonts w:ascii="Times New Roman" w:cs="Times New Roman" w:hAnsi="Times New Roman"/>
      <w:sz w:val="24"/>
    </w:rPr>
  </w:style>
  <w:style w:type="paragraph" w:styleId="title">
    <w:pPr>
      <w:jc w:val="center"/>
      <w:spacing w:after="0" w:line="240" w:lineRule="auto"/>
    </w:pPr>
    <w:rPr>
      <w:b w:val="1"/>
      <w:rFonts w:ascii="Times New Roman" w:cs="Times New Roman" w:hAnsi="Times New Roman"/>
      <w:sz w:val="22"/>
    </w:rPr>
  </w:style>
  <w:style w:type="paragraph" w:styleId="header">
    <w:pPr>
      <w:jc w:val="center"/>
      <w:spacing w:after="0" w:line="240" w:lineRule="auto"/>
    </w:pPr>
    <w:rPr>
      <w:b w:val="1"/>
      <w:rFonts w:ascii="Tahoma" w:cs="Tahoma" w:hAnsi="Tahoma"/>
      <w:sz w:val="12"/>
    </w:rPr>
  </w:style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styles" Target="/word/styles.xml" Id="rId2" /><Relationship Type="http://schemas.openxmlformats.org/officeDocument/2006/relationships/settings" Target="/word/settings.xml" Id="rId3" /><Relationship Type="http://schemas.openxmlformats.org/officeDocument/2006/relationships/header" Target="/word/header1.xml" Id="rId20" /></Relationships>
</file>

<file path=word/_rels/header1.xml.rels>&#65279;<?xml version="1.0" encoding="utf-8"?><Relationships xmlns="http://schemas.openxmlformats.org/package/2006/relationships"><Relationship Type="http://schemas.openxmlformats.org/officeDocument/2006/relationships/image" Target="/word/media/image1.png" Id="rId1" /></Relationships>
</file>